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/>
        <w:rPr>
          <w:sz w:val="33"/>
          <w:szCs w:val="33"/>
        </w:rPr>
      </w:pPr>
      <w:bookmarkStart w:id="0" w:name="_GoBack"/>
      <w:bookmarkEnd w:id="0"/>
      <w:r>
        <w:rPr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QDII基金（环球投资的最平民化）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一个合理的资产投资布局不应该仅仅考虑一个市场，但对于绝大多数投资者而言，投资往往只考虑了单一地域，就如我们身边做a股投资的比比皆是，但如果要说有进行海外市场投资（如美股等）可谓凤毛麟角，地域投资的局限往往给我们的投资带来极大的波动，特别是在a股这种散户极多、情绪化极大的投资标的，如2018股市给股民带来的惨痛教训我们是有目共睹的，加上环球股市本就有轮动规律，那么就行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海外投资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的必要性就显得更加充分。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6690" cy="2491740"/>
            <wp:effectExtent l="0" t="0" r="10160" b="3810"/>
            <wp:docPr id="10" name="图片 10" descr="97b9e8a7b30d7a77263b44ff94623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97b9e8a7b30d7a77263b44ff946237a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在进行海外投资之前我们先来做一个QDII的普及。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color w:val="000000"/>
          <w:spacing w:val="23"/>
          <w:sz w:val="22"/>
          <w:szCs w:val="22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D65F19"/>
          <w:spacing w:val="8"/>
          <w:sz w:val="27"/>
          <w:szCs w:val="27"/>
          <w:bdr w:val="none" w:color="auto" w:sz="0" w:space="0"/>
          <w:shd w:val="clear" w:fill="FFFFFF"/>
        </w:rPr>
        <w:t>1、QDII基金是什么？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13"/>
          <w:kern w:val="0"/>
          <w:sz w:val="25"/>
          <w:szCs w:val="25"/>
          <w:bdr w:val="none" w:color="auto" w:sz="0" w:space="0"/>
          <w:shd w:val="clear" w:fill="FAFAFA"/>
          <w:lang w:val="en-US" w:eastAsia="zh-CN" w:bidi="ar"/>
        </w:rPr>
        <w:t>QDII是Qualified Domestic Institutional Investor（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合格的境内机构投资者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13"/>
          <w:kern w:val="0"/>
          <w:sz w:val="25"/>
          <w:szCs w:val="25"/>
          <w:bdr w:val="none" w:color="auto" w:sz="0" w:space="0"/>
          <w:shd w:val="clear" w:fill="FAFAFA"/>
          <w:lang w:val="en-US" w:eastAsia="zh-CN" w:bidi="ar"/>
        </w:rPr>
        <w:t>）的首字母缩写。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AFAFA"/>
          <w:lang w:val="en-US" w:eastAsia="zh-CN" w:bidi="ar"/>
        </w:rPr>
        <w:t>它是在一国境内设立，经该国有关部门批准从事境外证券市场的股票、债券等有价证券业务的证券投资基金。QDII基金是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可以投资海外市场的一种工具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13"/>
          <w:kern w:val="0"/>
          <w:sz w:val="25"/>
          <w:szCs w:val="25"/>
          <w:bdr w:val="none" w:color="auto" w:sz="0" w:space="0"/>
          <w:shd w:val="clear" w:fill="FAFAFA"/>
          <w:lang w:val="en-US" w:eastAsia="zh-CN" w:bidi="ar"/>
        </w:rPr>
        <w:t>，通过QDII，投资范围就不再局限在国内的证券市场，而是可以投资于国际资本市场。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color w:val="000000"/>
          <w:spacing w:val="23"/>
          <w:sz w:val="22"/>
          <w:szCs w:val="22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D65F19"/>
          <w:spacing w:val="8"/>
          <w:sz w:val="27"/>
          <w:szCs w:val="27"/>
          <w:bdr w:val="none" w:color="auto" w:sz="0" w:space="0"/>
          <w:shd w:val="clear" w:fill="FFFFFF"/>
        </w:rPr>
        <w:t>2、QDII基金有哪些分类？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AFAFA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按照基金类别，QDII基金可以分为：【1】QDII股票型，比如工银瑞信全球配置或广发纳斯达克指数；【2】QDII债券型，比如工银瑞信全球美元债；【3】QDII混合型，比如华泰柏瑞亚洲企业；【4】QDII另类投资，比如易方达黄金主题，或鹏华美国房地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Microsoft YaHei UI" w:hAnsi="Microsoft YaHei UI" w:eastAsia="Microsoft YaHei UI" w:cs="Microsoft YaHei UI"/>
          <w:color w:val="333333"/>
          <w:spacing w:val="13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Microsoft YaHei UI" w:hAnsi="Microsoft YaHei UI" w:eastAsia="Microsoft YaHei UI" w:cs="Microsoft YaHei UI"/>
          <w:color w:val="333333"/>
          <w:spacing w:val="13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color w:val="000000"/>
          <w:spacing w:val="23"/>
          <w:sz w:val="22"/>
          <w:szCs w:val="22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D65F19"/>
          <w:spacing w:val="8"/>
          <w:sz w:val="27"/>
          <w:szCs w:val="27"/>
          <w:bdr w:val="none" w:color="auto" w:sz="0" w:space="0"/>
          <w:shd w:val="clear" w:fill="FFFFFF"/>
        </w:rPr>
        <w:t>3、投资QDII基金的优势有哪些？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在地理区域上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，QDII基金可以投资美股、港股、新兴市场、亚洲地区或其他国家，有利于基民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分散单一市场风险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，毕竟相较于发达资本市场，我国A股的风险波动还是相对较大的。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Microsoft YaHei UI" w:hAnsi="Microsoft YaHei UI" w:eastAsia="Microsoft YaHei UI" w:cs="Microsoft YaHei UI"/>
          <w:color w:val="333333"/>
          <w:spacing w:val="13"/>
          <w:sz w:val="25"/>
          <w:szCs w:val="25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在投资产品上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，除了股票和债券，QDII基金还可以投资石油和黄金等商品类资产，以及公募基金、结构性投资产品、金融衍生品、存款凭证、资产抵押债券等金融产品，因此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投资品种的丰富有利于投资者优化投资组合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，在风险一致的情况下追求更大收益。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在宏观因素上，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没有5w外汇额度限制，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不用换汇，不用专门开海外账户。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Microsoft YaHei UI" w:hAnsi="Microsoft YaHei UI" w:eastAsia="Microsoft YaHei UI" w:cs="Microsoft YaHei UI"/>
          <w:color w:val="333333"/>
          <w:spacing w:val="13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color w:val="000000"/>
          <w:spacing w:val="23"/>
          <w:sz w:val="22"/>
          <w:szCs w:val="22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D65F19"/>
          <w:spacing w:val="8"/>
          <w:sz w:val="27"/>
          <w:szCs w:val="27"/>
          <w:bdr w:val="none" w:color="auto" w:sz="0" w:space="0"/>
          <w:shd w:val="clear" w:fill="FFFFFF"/>
        </w:rPr>
        <w:t>4、投资QDII基金应该关注哪些指标？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1.看投资方向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：基民在投资QDII基金时，事先需要对基金的投向有一个清楚的了解，如果能对相关市场的发展有所研究，对选择产品会更有帮助。也就是说，只有投资前景明朗，投资才能更加有的放矢。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Microsoft YaHei UI" w:hAnsi="Microsoft YaHei UI" w:eastAsia="Microsoft YaHei UI" w:cs="Microsoft YaHei UI"/>
          <w:color w:val="333333"/>
          <w:spacing w:val="13"/>
          <w:sz w:val="25"/>
          <w:szCs w:val="25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2.看自身风险承受能力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：选择投资海外市场要看是否符合自己的风险承受能力，因为海外风险及市场波动性比较大，所以投资者投资QDII基金产品时要有好的心态，应注重长期回报，要给予投资机构一定的时间来为自己争取高收益。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Microsoft YaHei UI" w:hAnsi="Microsoft YaHei UI" w:eastAsia="Microsoft YaHei UI" w:cs="Microsoft YaHei UI"/>
          <w:color w:val="333333"/>
          <w:spacing w:val="13"/>
          <w:sz w:val="25"/>
          <w:szCs w:val="25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3.看基金管理人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：QDII基金产品管理人的管理水平也是决定基金表现好坏的一个重要因素。因此，购买QDII基金时，投资者还需对基金的管理人做个必要的了解，挑选那些管理水平优秀的管理人。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Microsoft YaHei UI" w:hAnsi="Microsoft YaHei UI" w:eastAsia="Microsoft YaHei UI" w:cs="Microsoft YaHei UI"/>
          <w:color w:val="333333"/>
          <w:spacing w:val="13"/>
          <w:sz w:val="25"/>
          <w:szCs w:val="25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4.看基金公司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：基金公司是运作基金的单位，其投资能力直接决定基金的投资收益，因此，无论是投资何种基金产品，基民都应当选择管理经验丰富、过往长期投资业绩比较好的基金管理公司。投资QDII基金亦是如此。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QDII基金国内发展状况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截至2018年11月26日，我国QDII基金数量达141只，占全市场的2.8%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13"/>
          <w:kern w:val="0"/>
          <w:sz w:val="25"/>
          <w:szCs w:val="25"/>
          <w:bdr w:val="none" w:color="auto" w:sz="0" w:space="0"/>
          <w:shd w:val="clear" w:fill="FAFAFA"/>
          <w:lang w:val="en-US" w:eastAsia="zh-CN" w:bidi="ar"/>
        </w:rPr>
        <w:t>；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13"/>
          <w:kern w:val="0"/>
          <w:sz w:val="25"/>
          <w:szCs w:val="25"/>
          <w:bdr w:val="none" w:color="auto" w:sz="0" w:space="0"/>
          <w:shd w:val="clear" w:fill="FAFAFA"/>
          <w:lang w:val="en-US" w:eastAsia="zh-CN" w:bidi="ar"/>
        </w:rPr>
        <w:t>发行份额达717.2亿份，占全市场的0.5%；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AFAFA"/>
          <w:lang w:val="en-US" w:eastAsia="zh-CN" w:bidi="ar"/>
        </w:rPr>
        <w:t>基金资产净值总额达812.1亿元，占全市场的0.6%。整体而言，目前QDII基金在我国公募基金行业中的占比较小。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AFAFA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AFAFA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AFAFA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AFAFA"/>
          <w:lang w:val="en-US" w:eastAsia="zh-CN" w:bidi="ar"/>
        </w:rPr>
        <w:drawing>
          <wp:inline distT="0" distB="0" distL="114300" distR="114300">
            <wp:extent cx="5229225" cy="3276600"/>
            <wp:effectExtent l="0" t="0" r="9525" b="0"/>
            <wp:docPr id="11" name="图片 11" descr="da87fd9992994d26d81c31045fc38c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da87fd9992994d26d81c31045fc38cf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AFAFA"/>
          <w:lang w:val="en-US" w:eastAsia="zh-CN" w:bidi="ar"/>
        </w:rPr>
        <w:br w:type="textWrapping"/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13"/>
          <w:kern w:val="0"/>
          <w:sz w:val="25"/>
          <w:szCs w:val="25"/>
          <w:bdr w:val="none" w:color="auto" w:sz="0" w:space="0"/>
          <w:shd w:val="clear" w:fill="FAFAFA"/>
          <w:lang w:val="en-US" w:eastAsia="zh-CN" w:bidi="ar"/>
        </w:rPr>
        <w:t>从数量和规模来看，我国QDII基金目前是以QDII股票型基金为主。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AFAFA"/>
          <w:lang w:val="en-US" w:eastAsia="zh-CN" w:bidi="ar"/>
        </w:rPr>
        <w:t>如图2&amp;图3所示，截至2018年11月26日，QDII股票型基金的数量占我国QDII基金的44.4%，相应的，其基金资产净值占我国QDII基金的61.7%。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AFAFA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AFAFA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6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Microsoft YaHei UI" w:hAnsi="Microsoft YaHei UI" w:eastAsia="Microsoft YaHei UI" w:cs="Microsoft YaHei UI"/>
          <w:color w:val="333333"/>
          <w:spacing w:val="13"/>
          <w:sz w:val="25"/>
          <w:szCs w:val="25"/>
          <w:lang w:eastAsia="zh-CN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13"/>
          <w:sz w:val="25"/>
          <w:szCs w:val="25"/>
          <w:lang w:eastAsia="zh-CN"/>
        </w:rPr>
        <w:drawing>
          <wp:inline distT="0" distB="0" distL="114300" distR="114300">
            <wp:extent cx="5273675" cy="2176145"/>
            <wp:effectExtent l="0" t="0" r="3175" b="14605"/>
            <wp:docPr id="14" name="图片 14" descr="2feb6009a2fe94c65d4213d9da2ec2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2feb6009a2fe94c65d4213d9da2ec2d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从区域配置来看，我国QDII基金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主要投资于港股和美股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。截至2018年第三季度，QDII基金在港股的投资市值合计为311亿元，占我国QDII基金总规模的55.1%；在美股的投资市值合计为207.6亿元，占比为36.8%。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191125" cy="3114675"/>
            <wp:effectExtent l="0" t="0" r="9525" b="9525"/>
            <wp:docPr id="12" name="图片 12" descr="c18755761ae7fbf963379cb7d357a3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18755761ae7fbf963379cb7d357a39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13"/>
          <w:kern w:val="0"/>
          <w:sz w:val="25"/>
          <w:szCs w:val="25"/>
          <w:bdr w:val="none" w:color="auto" w:sz="0" w:space="0"/>
          <w:shd w:val="clear" w:fill="FAFAFA"/>
          <w:lang w:val="en-US" w:eastAsia="zh-CN" w:bidi="ar"/>
        </w:rPr>
        <w:t>从历史业绩来看，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近5年累计收益最高的前十只QDII基金中，有7只是被动指数型，仅3只为的普通型基金。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AFAFA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8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IMG_2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AFAFA"/>
          <w:lang w:val="en-US" w:eastAsia="zh-CN" w:bidi="ar"/>
        </w:rPr>
        <w:drawing>
          <wp:inline distT="0" distB="0" distL="114300" distR="114300">
            <wp:extent cx="5270500" cy="2153285"/>
            <wp:effectExtent l="0" t="0" r="6350" b="18415"/>
            <wp:docPr id="13" name="图片 13" descr="1cff1df7bbcb74c59eee58ff6e08f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cff1df7bbcb74c59eee58ff6e08f32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AFAFA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AFAFA"/>
          <w:lang w:val="en-US" w:eastAsia="zh-CN" w:bidi="ar"/>
        </w:rPr>
        <w:t>下面仅是个人针对QDII的看法今年以来中国A股大幅回调，受益于美股增长，QDII基金业绩亮眼。然而，随着美国加息的进程以及减税效应的消退，2019年美股存在回调风险，因此并不建议投资者重仓QDII基金，按照“核心+辅助”的组合构建策略，建议将QDII基金作为资产组合的辅助部分，根据个人风险承受能力适当配置，从而实现全球配置、分散风险的目的。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AFAFA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AFAFA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IMG_2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5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 descr="IMG_2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16A49"/>
    <w:rsid w:val="0141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1.jpeg"/><Relationship Id="rId8" Type="http://schemas.openxmlformats.org/officeDocument/2006/relationships/image" Target="media/image9.jpeg"/><Relationship Id="rId7" Type="http://schemas.openxmlformats.org/officeDocument/2006/relationships/image" Target="media/image7.jpeg"/><Relationship Id="rId6" Type="http://schemas.openxmlformats.org/officeDocument/2006/relationships/image" Target="media/image5.jpeg"/><Relationship Id="rId5" Type="http://schemas.openxmlformats.org/officeDocument/2006/relationships/image" Target="media/image3.jpe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2019-12-16T05:51:00Z</dcterms:created>
  <dc:creator>斜阳无限</dc:creator>
  <cp:lastModifiedBy>斜阳无限</cp:lastModifiedBy>
  <dcterms:modified xsi:type="dcterms:W3CDTF">2019-12-16T05:54:30Z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