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bookmarkStart w:id="0" w:name="_GoBack"/>
      <w:bookmarkEnd w:id="0"/>
      <w:r>
        <w:rPr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QDII基金（环球投资的最平民化）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一个合理的资产投资布局不应该仅仅考虑一个市场，但对于绝大多数投资者而言，投资往往只考虑了单一地域，就如我们身边做a股投资的比比皆是，但如果要说有进行海外市场投资（如美股等）可谓凤毛麟角，地域投资的局限往往给我们的投资带来极大的波动，特别是在a股这种散户极多、情绪化极大的投资标的，如2018股市给股民带来的惨痛教训我们是有目共睹的，加上环球股市本就有轮动规律，那么就行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海外投资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的必要性就显得更加充分。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91740"/>
            <wp:effectExtent l="0" t="0" r="10160" b="3810"/>
            <wp:docPr id="10" name="图片 10" descr="97b9e8a7b30d7a77263b44ff94623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7b9e8a7b30d7a77263b44ff94623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在进行海外投资之前我们先来做一个QDII的普及。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000000"/>
          <w:spacing w:val="23"/>
          <w:sz w:val="22"/>
          <w:szCs w:val="22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65F19"/>
          <w:spacing w:val="8"/>
          <w:sz w:val="27"/>
          <w:szCs w:val="27"/>
          <w:bdr w:val="none" w:color="auto" w:sz="0" w:space="0"/>
          <w:shd w:val="clear" w:fill="FFFFFF"/>
        </w:rPr>
        <w:t>1、QDII基金是什么？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3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QDII是Qualified Domestic Institutional Investor（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合格的境内机构投资者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3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）的首字母缩写。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它是在一国境内设立，经该国有关部门批准从事境外证券市场的股票、债券等有价证券业务的证券投资基金。QDII基金是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可以投资海外市场的一种工具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3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，通过QDII，投资范围就不再局限在国内的证券市场，而是可以投资于国际资本市场。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000000"/>
          <w:spacing w:val="23"/>
          <w:sz w:val="22"/>
          <w:szCs w:val="22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65F19"/>
          <w:spacing w:val="8"/>
          <w:sz w:val="27"/>
          <w:szCs w:val="27"/>
          <w:bdr w:val="none" w:color="auto" w:sz="0" w:space="0"/>
          <w:shd w:val="clear" w:fill="FFFFFF"/>
        </w:rPr>
        <w:t>2、QDII基金有哪些分类？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按照基金类别，QDII基金可以分为：【1】QDII股票型，比如工银瑞信全球配置或广发纳斯达克指数；【2】QDII债券型，比如工银瑞信全球美元债；【3】QDII混合型，比如华泰柏瑞亚洲企业；【4】QDII另类投资，比如易方达黄金主题，或鹏华美国房地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333333"/>
          <w:spacing w:val="13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333333"/>
          <w:spacing w:val="13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000000"/>
          <w:spacing w:val="23"/>
          <w:sz w:val="22"/>
          <w:szCs w:val="22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65F19"/>
          <w:spacing w:val="8"/>
          <w:sz w:val="27"/>
          <w:szCs w:val="27"/>
          <w:bdr w:val="none" w:color="auto" w:sz="0" w:space="0"/>
          <w:shd w:val="clear" w:fill="FFFFFF"/>
        </w:rPr>
        <w:t>3、投资QDII基金的优势有哪些？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在地理区域上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，QDII基金可以投资美股、港股、新兴市场、亚洲地区或其他国家，有利于基民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分散单一市场风险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，毕竟相较于发达资本市场，我国A股的风险波动还是相对较大的。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333333"/>
          <w:spacing w:val="13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在投资产品上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，除了股票和债券，QDII基金还可以投资石油和黄金等商品类资产，以及公募基金、结构性投资产品、金融衍生品、存款凭证、资产抵押债券等金融产品，因此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投资品种的丰富有利于投资者优化投资组合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，在风险一致的情况下追求更大收益。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在宏观因素上，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没有5w外汇额度限制，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不用换汇，不用专门开海外账户。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333333"/>
          <w:spacing w:val="13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000000"/>
          <w:spacing w:val="23"/>
          <w:sz w:val="22"/>
          <w:szCs w:val="22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D65F19"/>
          <w:spacing w:val="8"/>
          <w:sz w:val="27"/>
          <w:szCs w:val="27"/>
          <w:bdr w:val="none" w:color="auto" w:sz="0" w:space="0"/>
          <w:shd w:val="clear" w:fill="FFFFFF"/>
        </w:rPr>
        <w:t>4、投资QDII基金应该关注哪些指标？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1.看投资方向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：基民在投资QDII基金时，事先需要对基金的投向有一个清楚的了解，如果能对相关市场的发展有所研究，对选择产品会更有帮助。也就是说，只有投资前景明朗，投资才能更加有的放矢。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333333"/>
          <w:spacing w:val="13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2.看自身风险承受能力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：选择投资海外市场要看是否符合自己的风险承受能力，因为海外风险及市场波动性比较大，所以投资者投资QDII基金产品时要有好的心态，应注重长期回报，要给予投资机构一定的时间来为自己争取高收益。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333333"/>
          <w:spacing w:val="13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3.看基金管理人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：QDII基金产品管理人的管理水平也是决定基金表现好坏的一个重要因素。因此，购买QDII基金时，投资者还需对基金的管理人做个必要的了解，挑选那些管理水平优秀的管理人。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333333"/>
          <w:spacing w:val="13"/>
          <w:sz w:val="25"/>
          <w:szCs w:val="25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4.看基金公司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：基金公司是运作基金的单位，其投资能力直接决定基金的投资收益，因此，无论是投资何种基金产品，基民都应当选择管理经验丰富、过往长期投资业绩比较好的基金管理公司。投资QDII基金亦是如此。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QDII基金国内发展状况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截至2018年11月26日，我国QDII基金数量达141只，占全市场的2.8%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13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3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发行份额达717.2亿份，占全市场的0.5%；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基金资产净值总额达812.1亿元，占全市场的0.6%。整体而言，目前QDII基金在我国公募基金行业中的占比较小。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drawing>
          <wp:inline distT="0" distB="0" distL="114300" distR="114300">
            <wp:extent cx="5229225" cy="3276600"/>
            <wp:effectExtent l="0" t="0" r="9525" b="0"/>
            <wp:docPr id="11" name="图片 11" descr="da87fd9992994d26d81c31045fc38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a87fd9992994d26d81c31045fc38c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13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从数量和规模来看，我国QDII基金目前是以QDII股票型基金为主。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如图2&amp;图3所示，截至2018年11月26日，QDII股票型基金的数量占我国QDII基金的44.4%，相应的，其基金资产净值占我国QDII基金的61.7%。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color w:val="333333"/>
          <w:spacing w:val="13"/>
          <w:sz w:val="25"/>
          <w:szCs w:val="25"/>
          <w:lang w:eastAsia="zh-CN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13"/>
          <w:sz w:val="25"/>
          <w:szCs w:val="25"/>
          <w:lang w:eastAsia="zh-CN"/>
        </w:rPr>
        <w:drawing>
          <wp:inline distT="0" distB="0" distL="114300" distR="114300">
            <wp:extent cx="5273675" cy="2176145"/>
            <wp:effectExtent l="0" t="0" r="3175" b="14605"/>
            <wp:docPr id="14" name="图片 14" descr="2feb6009a2fe94c65d4213d9da2ec2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feb6009a2fe94c65d4213d9da2ec2d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从区域配置来看，我国QDII基金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主要投资于港股和美股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。截至2018年第三季度，QDII基金在港股的投资市值合计为311亿元，占我国QDII基金总规模的55.1%；在美股的投资市值合计为207.6亿元，占比为36.8%。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3114675"/>
            <wp:effectExtent l="0" t="0" r="9525" b="9525"/>
            <wp:docPr id="12" name="图片 12" descr="c18755761ae7fbf963379cb7d357a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18755761ae7fbf963379cb7d357a39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13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从历史业绩来看，</w:t>
      </w:r>
      <w: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近5年累计收益最高的前十只QDII基金中，有7只是被动指数型，仅3只为的普通型基金。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drawing>
          <wp:inline distT="0" distB="0" distL="114300" distR="114300">
            <wp:extent cx="5270500" cy="2153285"/>
            <wp:effectExtent l="0" t="0" r="6350" b="18415"/>
            <wp:docPr id="13" name="图片 13" descr="1cff1df7bbcb74c59eee58ff6e08f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cff1df7bbcb74c59eee58ff6e08f3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t>下面仅是个人针对QDII的看法今年以来中国A股大幅回调，受益于美股增长，QDII基金业绩亮眼。然而，随着美国加息的进程以及减税效应的消退，2019年美股存在回调风险，因此并不建议投资者重仓QDII基金，按照“核心+辅助”的组合构建策略，建议将QDII基金作为资产组合的辅助部分，根据个人风险承受能力适当配置，从而实现全球配置、分散风险的目的。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AFAFA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6A49"/>
    <w:rsid w:val="014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1.jpeg"/><Relationship Id="rId8" Type="http://schemas.openxmlformats.org/officeDocument/2006/relationships/image" Target="media/image9.jpeg"/><Relationship Id="rId7" Type="http://schemas.openxmlformats.org/officeDocument/2006/relationships/image" Target="media/image7.jpeg"/><Relationship Id="rId6" Type="http://schemas.openxmlformats.org/officeDocument/2006/relationships/image" Target="media/image5.jpeg"/><Relationship Id="rId5" Type="http://schemas.openxmlformats.org/officeDocument/2006/relationships/image" Target="media/image3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2019-12-16T05:51:00Z</dcterms:created>
  <dc:creator>斜阳无限</dc:creator>
  <cp:lastModifiedBy>斜阳无限</cp:lastModifiedBy>
  <dcterms:modified xsi:type="dcterms:W3CDTF">2019-12-16T05:54:30Z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